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49" w:rsidRPr="00522C3A" w:rsidRDefault="00F83DA9" w:rsidP="00522C3A">
      <w:pPr>
        <w:jc w:val="center"/>
        <w:rPr>
          <w:b/>
          <w:color w:val="002060"/>
          <w:sz w:val="28"/>
        </w:rPr>
      </w:pPr>
      <w:r w:rsidRPr="00522C3A">
        <w:rPr>
          <w:b/>
          <w:color w:val="002060"/>
          <w:sz w:val="28"/>
        </w:rPr>
        <w:t xml:space="preserve">Pupil Premium Summary for Governors </w:t>
      </w:r>
    </w:p>
    <w:p w:rsidR="00C55583" w:rsidRPr="00522C3A" w:rsidRDefault="00C55583" w:rsidP="00A16849">
      <w:pPr>
        <w:tabs>
          <w:tab w:val="left" w:pos="1027"/>
        </w:tabs>
        <w:rPr>
          <w:b/>
          <w:color w:val="002060"/>
          <w:sz w:val="2"/>
        </w:rPr>
      </w:pPr>
    </w:p>
    <w:p w:rsidR="00C55583" w:rsidRPr="00522C3A" w:rsidRDefault="00522C3A" w:rsidP="00A16849">
      <w:pPr>
        <w:tabs>
          <w:tab w:val="left" w:pos="1027"/>
        </w:tabs>
        <w:rPr>
          <w:b/>
          <w:color w:val="002060"/>
          <w:sz w:val="24"/>
        </w:rPr>
      </w:pPr>
      <w:r w:rsidRPr="00522C3A">
        <w:rPr>
          <w:b/>
          <w:color w:val="002060"/>
          <w:sz w:val="24"/>
        </w:rPr>
        <w:t>Attainment Summary 2018-19</w:t>
      </w:r>
      <w:bookmarkStart w:id="0" w:name="_GoBack"/>
      <w:bookmarkEnd w:id="0"/>
    </w:p>
    <w:tbl>
      <w:tblPr>
        <w:tblStyle w:val="TableGrid2"/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3651"/>
        <w:gridCol w:w="3856"/>
        <w:gridCol w:w="4168"/>
      </w:tblGrid>
      <w:tr w:rsidR="004702E7" w:rsidRPr="004702E7" w:rsidTr="008C41A3">
        <w:trPr>
          <w:trHeight w:hRule="exact" w:val="449"/>
          <w:jc w:val="center"/>
        </w:trPr>
        <w:tc>
          <w:tcPr>
            <w:tcW w:w="3885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4702E7">
              <w:rPr>
                <w:rFonts w:ascii="Century Gothic" w:eastAsia="Arial" w:hAnsi="Century Gothic" w:cs="Arial"/>
                <w:b/>
                <w:color w:val="002060"/>
                <w:sz w:val="24"/>
                <w:szCs w:val="24"/>
              </w:rPr>
              <w:t>Current Attainment / Progress</w:t>
            </w:r>
          </w:p>
        </w:tc>
        <w:tc>
          <w:tcPr>
            <w:tcW w:w="1167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22C3A" w:rsidRPr="004702E7" w:rsidRDefault="00522C3A" w:rsidP="008C41A3">
            <w:pP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  <w:r w:rsidRPr="004702E7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KEY: PP = </w:t>
            </w:r>
            <w:r w:rsidRPr="004702E7">
              <w:rPr>
                <w:rFonts w:ascii="Century Gothic" w:hAnsi="Century Gothic" w:cs="Arial"/>
                <w:color w:val="002060"/>
                <w:sz w:val="24"/>
                <w:szCs w:val="24"/>
              </w:rPr>
              <w:t>Pupil Premium</w:t>
            </w:r>
            <w:r w:rsidRPr="004702E7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 LA = </w:t>
            </w:r>
            <w:r w:rsidRPr="004702E7">
              <w:rPr>
                <w:rFonts w:ascii="Century Gothic" w:hAnsi="Century Gothic" w:cs="Arial"/>
                <w:color w:val="002060"/>
                <w:sz w:val="24"/>
                <w:szCs w:val="24"/>
              </w:rPr>
              <w:t>Local Authority</w:t>
            </w:r>
            <w:r w:rsidRPr="004702E7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   NA = </w:t>
            </w:r>
            <w:r w:rsidRPr="004702E7">
              <w:rPr>
                <w:rFonts w:ascii="Century Gothic" w:hAnsi="Century Gothic" w:cs="Arial"/>
                <w:color w:val="002060"/>
                <w:sz w:val="24"/>
                <w:szCs w:val="24"/>
              </w:rPr>
              <w:t>National Average</w:t>
            </w:r>
            <w:r w:rsidRPr="004702E7"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 xml:space="preserve">  DA = </w:t>
            </w:r>
            <w:r w:rsidRPr="004702E7">
              <w:rPr>
                <w:rFonts w:ascii="Century Gothic" w:hAnsi="Century Gothic" w:cs="Arial"/>
                <w:color w:val="002060"/>
                <w:sz w:val="24"/>
                <w:szCs w:val="24"/>
              </w:rPr>
              <w:t>Disadvantaged</w:t>
            </w:r>
          </w:p>
        </w:tc>
      </w:tr>
      <w:tr w:rsidR="004702E7" w:rsidRPr="004702E7" w:rsidTr="008C41A3">
        <w:trPr>
          <w:trHeight w:val="237"/>
          <w:jc w:val="center"/>
        </w:trPr>
        <w:tc>
          <w:tcPr>
            <w:tcW w:w="7536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EYFS 2018-19</w:t>
            </w:r>
            <w:r w:rsidRPr="004702E7">
              <w:rPr>
                <w:rFonts w:ascii="Century Gothic" w:eastAsia="Arial" w:hAnsi="Century Gothic" w:cs="Arial"/>
                <w:b/>
                <w:bCs/>
                <w:color w:val="002060"/>
                <w:sz w:val="24"/>
                <w:szCs w:val="24"/>
              </w:rPr>
              <w:t xml:space="preserve">         </w:t>
            </w:r>
            <w:r w:rsidRPr="004702E7">
              <w:rPr>
                <w:rFonts w:ascii="Century Gothic" w:eastAsia="Arial" w:hAnsi="Century Gothic" w:cs="Arial"/>
                <w:bCs/>
                <w:color w:val="002060"/>
                <w:sz w:val="18"/>
                <w:szCs w:val="18"/>
              </w:rPr>
              <w:t xml:space="preserve">             (</w:t>
            </w:r>
            <w:r w:rsidRPr="004702E7">
              <w:rPr>
                <w:rFonts w:ascii="Century Gothic" w:hAnsi="Century Gothic"/>
                <w:i/>
                <w:color w:val="002060"/>
                <w:sz w:val="18"/>
                <w:szCs w:val="18"/>
              </w:rPr>
              <w:t>Less than 50% were ARE on-entry in RWM)</w:t>
            </w:r>
          </w:p>
        </w:tc>
        <w:tc>
          <w:tcPr>
            <w:tcW w:w="3856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b/>
                <w:i/>
                <w:color w:val="002060"/>
              </w:rPr>
              <w:t>Pupils eligible for PP (18)</w:t>
            </w:r>
          </w:p>
        </w:tc>
        <w:tc>
          <w:tcPr>
            <w:tcW w:w="4168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/>
                <w:i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i/>
                <w:color w:val="002060"/>
              </w:rPr>
              <w:t xml:space="preserve">Pupils not eligible for PP (33) </w:t>
            </w:r>
          </w:p>
        </w:tc>
      </w:tr>
      <w:tr w:rsidR="004702E7" w:rsidRPr="004702E7" w:rsidTr="008C41A3">
        <w:trPr>
          <w:jc w:val="center"/>
        </w:trPr>
        <w:tc>
          <w:tcPr>
            <w:tcW w:w="7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  <w:sz w:val="24"/>
                <w:szCs w:val="24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of pupils achieving a good level of development (GLD)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color w:val="002060"/>
              </w:rPr>
              <w:t>67% (49% LA/57% Nat)</w:t>
            </w:r>
            <w:r w:rsidRPr="004702E7">
              <w:rPr>
                <w:rFonts w:ascii="Century Gothic" w:eastAsia="Calibri" w:hAnsi="Century Gothic" w:cs="Arial"/>
                <w:b/>
                <w:i/>
                <w:color w:val="002060"/>
              </w:rPr>
              <w:t xml:space="preserve"> Above Nat PP</w:t>
            </w:r>
          </w:p>
        </w:tc>
        <w:tc>
          <w:tcPr>
            <w:tcW w:w="4168" w:type="dxa"/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61% (71% LA/74% Nat)</w:t>
            </w:r>
          </w:p>
        </w:tc>
      </w:tr>
      <w:tr w:rsidR="004702E7" w:rsidRPr="004702E7" w:rsidTr="008C41A3">
        <w:trPr>
          <w:jc w:val="center"/>
        </w:trPr>
        <w:tc>
          <w:tcPr>
            <w:tcW w:w="753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 xml:space="preserve">Year 1 Phonics 2018-19     </w:t>
            </w:r>
            <w:r w:rsidRPr="004702E7">
              <w:rPr>
                <w:rFonts w:ascii="Century Gothic" w:hAnsi="Century Gothic"/>
                <w:i/>
                <w:color w:val="002060"/>
                <w:sz w:val="18"/>
                <w:szCs w:val="18"/>
              </w:rPr>
              <w:t xml:space="preserve">(Only 54% of this cohort achieved a GLD) 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/>
                <w:i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i/>
                <w:color w:val="002060"/>
              </w:rPr>
              <w:t>Pupils eligible for PP (30)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i/>
                <w:color w:val="002060"/>
              </w:rPr>
              <w:t xml:space="preserve">Pupils not eligible for PP (29) </w:t>
            </w:r>
          </w:p>
        </w:tc>
      </w:tr>
      <w:tr w:rsidR="004702E7" w:rsidRPr="004702E7" w:rsidTr="008C41A3">
        <w:trPr>
          <w:jc w:val="center"/>
        </w:trPr>
        <w:tc>
          <w:tcPr>
            <w:tcW w:w="75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the expected standard in Year 1 Phonics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color w:val="002060"/>
              </w:rPr>
              <w:t xml:space="preserve">60% (LA – 67.7%) 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76% (LA – 83%)</w:t>
            </w:r>
          </w:p>
        </w:tc>
      </w:tr>
      <w:tr w:rsidR="004702E7" w:rsidRPr="004702E7" w:rsidTr="008C41A3">
        <w:trPr>
          <w:trHeight w:val="217"/>
          <w:jc w:val="center"/>
        </w:trPr>
        <w:tc>
          <w:tcPr>
            <w:tcW w:w="7536" w:type="dxa"/>
            <w:gridSpan w:val="2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KS1 2018-19</w:t>
            </w:r>
          </w:p>
        </w:tc>
        <w:tc>
          <w:tcPr>
            <w:tcW w:w="3856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b/>
                <w:i/>
                <w:color w:val="002060"/>
              </w:rPr>
              <w:t>Pupils eligible for PP (27)</w:t>
            </w:r>
          </w:p>
        </w:tc>
        <w:tc>
          <w:tcPr>
            <w:tcW w:w="4168" w:type="dxa"/>
            <w:shd w:val="clear" w:color="auto" w:fill="D9E2F3" w:themeFill="accent1" w:themeFillTint="33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i/>
                <w:color w:val="002060"/>
              </w:rPr>
              <w:t>Pupils not eligible for PP (28)</w:t>
            </w:r>
          </w:p>
        </w:tc>
      </w:tr>
      <w:tr w:rsidR="004702E7" w:rsidRPr="004702E7" w:rsidTr="008C41A3">
        <w:trPr>
          <w:jc w:val="center"/>
        </w:trPr>
        <w:tc>
          <w:tcPr>
            <w:tcW w:w="753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Reading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color w:val="002060"/>
              </w:rPr>
              <w:t>56% (55% LA)</w:t>
            </w:r>
            <w:r w:rsidRPr="004702E7">
              <w:rPr>
                <w:rFonts w:ascii="Century Gothic" w:eastAsia="Calibri" w:hAnsi="Century Gothic" w:cs="Arial"/>
                <w:b/>
                <w:i/>
                <w:color w:val="002060"/>
              </w:rPr>
              <w:t xml:space="preserve"> Above LA PP</w:t>
            </w:r>
          </w:p>
        </w:tc>
        <w:tc>
          <w:tcPr>
            <w:tcW w:w="4168" w:type="dxa"/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89% (75%)</w:t>
            </w:r>
          </w:p>
        </w:tc>
      </w:tr>
      <w:tr w:rsidR="004702E7" w:rsidRPr="004702E7" w:rsidTr="008C41A3">
        <w:trPr>
          <w:jc w:val="center"/>
        </w:trPr>
        <w:tc>
          <w:tcPr>
            <w:tcW w:w="75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Writing</w:t>
            </w:r>
          </w:p>
        </w:tc>
        <w:tc>
          <w:tcPr>
            <w:tcW w:w="3856" w:type="dxa"/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color w:val="002060"/>
              </w:rPr>
              <w:t xml:space="preserve">56% (47%) </w:t>
            </w:r>
            <w:r w:rsidRPr="004702E7">
              <w:rPr>
                <w:rFonts w:ascii="Century Gothic" w:eastAsia="Calibri" w:hAnsi="Century Gothic" w:cs="Arial"/>
                <w:b/>
                <w:i/>
                <w:color w:val="002060"/>
              </w:rPr>
              <w:t>Above LA PP</w:t>
            </w:r>
          </w:p>
        </w:tc>
        <w:tc>
          <w:tcPr>
            <w:tcW w:w="4168" w:type="dxa"/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86% (69%)</w:t>
            </w:r>
          </w:p>
        </w:tc>
      </w:tr>
      <w:tr w:rsidR="004702E7" w:rsidRPr="004702E7" w:rsidTr="008C41A3">
        <w:trPr>
          <w:jc w:val="center"/>
        </w:trPr>
        <w:tc>
          <w:tcPr>
            <w:tcW w:w="75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Maths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color w:val="002060"/>
              </w:rPr>
              <w:t xml:space="preserve">59% (56%) </w:t>
            </w:r>
            <w:r w:rsidRPr="004702E7">
              <w:rPr>
                <w:rFonts w:ascii="Century Gothic" w:eastAsia="Calibri" w:hAnsi="Century Gothic" w:cs="Arial"/>
                <w:b/>
                <w:i/>
                <w:color w:val="002060"/>
              </w:rPr>
              <w:t>Above LA PP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93% (75%)</w:t>
            </w:r>
          </w:p>
        </w:tc>
      </w:tr>
      <w:tr w:rsidR="004702E7" w:rsidRPr="004702E7" w:rsidTr="008C41A3">
        <w:trPr>
          <w:jc w:val="center"/>
        </w:trPr>
        <w:tc>
          <w:tcPr>
            <w:tcW w:w="75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R/W/M combined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eastAsia="Calibri" w:hAnsi="Century Gothic" w:cs="Arial"/>
                <w:color w:val="002060"/>
              </w:rPr>
            </w:pPr>
            <w:r w:rsidRPr="004702E7">
              <w:rPr>
                <w:rFonts w:ascii="Century Gothic" w:eastAsia="Calibri" w:hAnsi="Century Gothic" w:cs="Arial"/>
                <w:color w:val="002060"/>
              </w:rPr>
              <w:t xml:space="preserve">56% (43%) </w:t>
            </w:r>
            <w:r w:rsidRPr="004702E7">
              <w:rPr>
                <w:rFonts w:ascii="Century Gothic" w:eastAsia="Calibri" w:hAnsi="Century Gothic" w:cs="Arial"/>
                <w:b/>
                <w:i/>
                <w:color w:val="002060"/>
              </w:rPr>
              <w:t>Above LA PP</w:t>
            </w: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85% (65%)</w:t>
            </w:r>
          </w:p>
        </w:tc>
      </w:tr>
      <w:tr w:rsidR="004702E7" w:rsidRPr="004702E7" w:rsidTr="008C41A3">
        <w:trPr>
          <w:trHeight w:hRule="exact" w:val="278"/>
          <w:jc w:val="center"/>
        </w:trPr>
        <w:tc>
          <w:tcPr>
            <w:tcW w:w="7536" w:type="dxa"/>
            <w:gridSpan w:val="2"/>
            <w:shd w:val="clear" w:color="auto" w:fill="D9E2F3" w:themeFill="accent1" w:themeFillTint="33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color w:val="002060"/>
              </w:rPr>
              <w:t>KS2 2018-19</w:t>
            </w:r>
          </w:p>
        </w:tc>
        <w:tc>
          <w:tcPr>
            <w:tcW w:w="3856" w:type="dxa"/>
            <w:shd w:val="clear" w:color="auto" w:fill="D9E2F3" w:themeFill="accent1" w:themeFillTint="33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i/>
                <w:color w:val="002060"/>
              </w:rPr>
              <w:t>Pupils eligible for PP (29)</w:t>
            </w:r>
          </w:p>
        </w:tc>
        <w:tc>
          <w:tcPr>
            <w:tcW w:w="4168" w:type="dxa"/>
            <w:shd w:val="clear" w:color="auto" w:fill="D9E2F3" w:themeFill="accent1" w:themeFillTint="33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i/>
                <w:color w:val="002060"/>
              </w:rPr>
              <w:t xml:space="preserve">Pupils not eligible for PP 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  <w:vAlign w:val="bottom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Reading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37% (NAT 62%)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59% (NAT 78%)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Writing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47% (68%)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69% (83%)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GPS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  <w:highlight w:val="yellow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47% (67%)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  <w:highlight w:val="yellow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72% (83%)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Proportion achieving at least expected standard in Maths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37% (67%)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59% (84%)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 xml:space="preserve">Proportion achieving expected standard or above in R/W/M 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27% (51%)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48% (71%)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 xml:space="preserve">Average progress score in Reading 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-5.60 (LA -0.43)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-2.33 (LA +0.48)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>Average progress score in Writing (TA)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-3.20 (LA -0.42)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 xml:space="preserve">-1.70 (LA +0.49) </w:t>
            </w:r>
          </w:p>
        </w:tc>
      </w:tr>
      <w:tr w:rsidR="004702E7" w:rsidRPr="004702E7" w:rsidTr="008C41A3">
        <w:trPr>
          <w:trHeight w:hRule="exact" w:val="323"/>
          <w:jc w:val="center"/>
        </w:trPr>
        <w:tc>
          <w:tcPr>
            <w:tcW w:w="7536" w:type="dxa"/>
            <w:gridSpan w:val="2"/>
            <w:shd w:val="clear" w:color="auto" w:fill="auto"/>
          </w:tcPr>
          <w:p w:rsidR="00522C3A" w:rsidRPr="004702E7" w:rsidRDefault="00522C3A" w:rsidP="008C41A3">
            <w:pPr>
              <w:ind w:right="-23"/>
              <w:contextualSpacing/>
              <w:rPr>
                <w:rFonts w:ascii="Century Gothic" w:eastAsia="Arial" w:hAnsi="Century Gothic" w:cs="Arial"/>
                <w:b/>
                <w:bCs/>
                <w:color w:val="002060"/>
              </w:rPr>
            </w:pPr>
            <w:r w:rsidRPr="004702E7">
              <w:rPr>
                <w:rFonts w:ascii="Century Gothic" w:eastAsia="Arial" w:hAnsi="Century Gothic" w:cs="Arial"/>
                <w:b/>
                <w:bCs/>
                <w:color w:val="002060"/>
              </w:rPr>
              <w:t xml:space="preserve">Average progress score in Maths </w:t>
            </w:r>
          </w:p>
        </w:tc>
        <w:tc>
          <w:tcPr>
            <w:tcW w:w="3856" w:type="dxa"/>
            <w:shd w:val="clear" w:color="auto" w:fill="auto"/>
          </w:tcPr>
          <w:p w:rsidR="00522C3A" w:rsidRPr="004702E7" w:rsidRDefault="00522C3A" w:rsidP="008C41A3">
            <w:pPr>
              <w:ind w:left="187"/>
              <w:contextualSpacing/>
              <w:jc w:val="center"/>
              <w:rPr>
                <w:rFonts w:ascii="Century Gothic" w:hAnsi="Century Gothic" w:cs="Arial"/>
                <w:color w:val="002060"/>
              </w:rPr>
            </w:pPr>
            <w:r w:rsidRPr="004702E7">
              <w:rPr>
                <w:rFonts w:ascii="Century Gothic" w:hAnsi="Century Gothic" w:cs="Arial"/>
                <w:color w:val="002060"/>
              </w:rPr>
              <w:t>-6.48 (LA -0.25)</w:t>
            </w:r>
          </w:p>
        </w:tc>
        <w:tc>
          <w:tcPr>
            <w:tcW w:w="4168" w:type="dxa"/>
            <w:shd w:val="clear" w:color="auto" w:fill="auto"/>
          </w:tcPr>
          <w:p w:rsidR="00522C3A" w:rsidRPr="004702E7" w:rsidRDefault="00522C3A" w:rsidP="008C41A3">
            <w:pPr>
              <w:contextualSpacing/>
              <w:jc w:val="center"/>
              <w:rPr>
                <w:rFonts w:ascii="Century Gothic" w:hAnsi="Century Gothic" w:cs="Arial"/>
                <w:bCs/>
                <w:color w:val="002060"/>
              </w:rPr>
            </w:pPr>
            <w:r w:rsidRPr="004702E7">
              <w:rPr>
                <w:rFonts w:ascii="Century Gothic" w:hAnsi="Century Gothic" w:cs="Arial"/>
                <w:bCs/>
                <w:color w:val="002060"/>
              </w:rPr>
              <w:t>-3.40 (LA +0.94)</w:t>
            </w:r>
          </w:p>
        </w:tc>
      </w:tr>
    </w:tbl>
    <w:p w:rsidR="00522C3A" w:rsidRPr="004702E7" w:rsidRDefault="00522C3A" w:rsidP="00A16849">
      <w:pPr>
        <w:tabs>
          <w:tab w:val="left" w:pos="1027"/>
        </w:tabs>
        <w:rPr>
          <w:b/>
          <w:color w:val="002060"/>
          <w:sz w:val="24"/>
        </w:rPr>
      </w:pPr>
    </w:p>
    <w:p w:rsidR="00522C3A" w:rsidRDefault="00522C3A" w:rsidP="00A16849">
      <w:pPr>
        <w:tabs>
          <w:tab w:val="left" w:pos="1027"/>
        </w:tabs>
        <w:rPr>
          <w:b/>
          <w:color w:val="002060"/>
          <w:sz w:val="24"/>
        </w:rPr>
      </w:pPr>
      <w:r w:rsidRPr="00522C3A">
        <w:rPr>
          <w:b/>
          <w:color w:val="002060"/>
          <w:sz w:val="24"/>
        </w:rPr>
        <w:t>What has gone well</w:t>
      </w:r>
      <w:r w:rsidR="00D00299">
        <w:rPr>
          <w:b/>
          <w:color w:val="002060"/>
          <w:sz w:val="24"/>
        </w:rPr>
        <w:t xml:space="preserve"> for attainment</w:t>
      </w:r>
      <w:r w:rsidRPr="00522C3A">
        <w:rPr>
          <w:b/>
          <w:color w:val="002060"/>
          <w:sz w:val="24"/>
        </w:rPr>
        <w:t xml:space="preserve">? </w:t>
      </w:r>
    </w:p>
    <w:p w:rsidR="00522C3A" w:rsidRPr="00522C3A" w:rsidRDefault="00522C3A" w:rsidP="00522C3A">
      <w:pPr>
        <w:pStyle w:val="ListParagraph"/>
        <w:numPr>
          <w:ilvl w:val="0"/>
          <w:numId w:val="5"/>
        </w:numPr>
        <w:tabs>
          <w:tab w:val="left" w:pos="1027"/>
        </w:tabs>
        <w:rPr>
          <w:b/>
          <w:color w:val="002060"/>
          <w:sz w:val="24"/>
        </w:rPr>
      </w:pPr>
      <w:r w:rsidRPr="00522C3A">
        <w:rPr>
          <w:b/>
          <w:color w:val="002060"/>
          <w:sz w:val="24"/>
        </w:rPr>
        <w:t>Good level of development is above n</w:t>
      </w:r>
      <w:r w:rsidR="004702E7">
        <w:rPr>
          <w:b/>
          <w:color w:val="002060"/>
          <w:sz w:val="24"/>
        </w:rPr>
        <w:t>ational Pupil premium children V</w:t>
      </w:r>
      <w:r w:rsidRPr="00522C3A">
        <w:rPr>
          <w:b/>
          <w:color w:val="002060"/>
          <w:sz w:val="24"/>
        </w:rPr>
        <w:t xml:space="preserve">s National results. </w:t>
      </w:r>
    </w:p>
    <w:p w:rsidR="00522C3A" w:rsidRDefault="00D00299" w:rsidP="00522C3A">
      <w:pPr>
        <w:pStyle w:val="ListParagraph"/>
        <w:numPr>
          <w:ilvl w:val="0"/>
          <w:numId w:val="5"/>
        </w:numPr>
        <w:tabs>
          <w:tab w:val="left" w:pos="1027"/>
        </w:tabs>
        <w:rPr>
          <w:b/>
          <w:color w:val="002060"/>
          <w:sz w:val="24"/>
        </w:rPr>
      </w:pPr>
      <w:r>
        <w:rPr>
          <w:b/>
          <w:color w:val="002060"/>
          <w:sz w:val="24"/>
        </w:rPr>
        <w:t>Pupil P</w:t>
      </w:r>
      <w:r w:rsidR="00522C3A" w:rsidRPr="00522C3A">
        <w:rPr>
          <w:b/>
          <w:color w:val="002060"/>
          <w:sz w:val="24"/>
        </w:rPr>
        <w:t xml:space="preserve">remium children outperformed non-pupil premium children in Early Years. </w:t>
      </w:r>
    </w:p>
    <w:p w:rsidR="00522C3A" w:rsidRDefault="00D00299" w:rsidP="00522C3A">
      <w:pPr>
        <w:pStyle w:val="ListParagraph"/>
        <w:numPr>
          <w:ilvl w:val="0"/>
          <w:numId w:val="5"/>
        </w:numPr>
        <w:tabs>
          <w:tab w:val="left" w:pos="1027"/>
        </w:tabs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Pupil Premium children in KS1 outperformed LA Pupil Premium children. </w:t>
      </w:r>
    </w:p>
    <w:p w:rsidR="00D00299" w:rsidRDefault="00D00299" w:rsidP="00D00299">
      <w:pPr>
        <w:tabs>
          <w:tab w:val="left" w:pos="1027"/>
        </w:tabs>
        <w:rPr>
          <w:b/>
          <w:color w:val="002060"/>
          <w:sz w:val="24"/>
        </w:rPr>
      </w:pPr>
    </w:p>
    <w:p w:rsidR="00D00299" w:rsidRPr="00D00299" w:rsidRDefault="00D00299" w:rsidP="00D00299">
      <w:pPr>
        <w:tabs>
          <w:tab w:val="left" w:pos="1027"/>
        </w:tabs>
        <w:rPr>
          <w:b/>
          <w:color w:val="002060"/>
          <w:sz w:val="24"/>
        </w:rPr>
      </w:pPr>
      <w:r w:rsidRPr="00D00299">
        <w:rPr>
          <w:b/>
          <w:color w:val="002060"/>
          <w:sz w:val="24"/>
        </w:rPr>
        <w:lastRenderedPageBreak/>
        <w:t>Still to work on…</w:t>
      </w:r>
    </w:p>
    <w:p w:rsidR="00D00299" w:rsidRPr="00D00299" w:rsidRDefault="00D00299" w:rsidP="00D00299">
      <w:pPr>
        <w:pStyle w:val="ListParagraph"/>
        <w:numPr>
          <w:ilvl w:val="0"/>
          <w:numId w:val="5"/>
        </w:numPr>
        <w:tabs>
          <w:tab w:val="left" w:pos="1027"/>
        </w:tabs>
        <w:rPr>
          <w:b/>
          <w:color w:val="002060"/>
          <w:sz w:val="24"/>
        </w:rPr>
      </w:pPr>
      <w:r w:rsidRPr="00D00299">
        <w:rPr>
          <w:b/>
          <w:color w:val="002060"/>
          <w:sz w:val="24"/>
        </w:rPr>
        <w:t xml:space="preserve">Close the attainment gap for Pupil Premium and non-Pupil Premium children across Reading, Writing and Maths in KS1. </w:t>
      </w:r>
    </w:p>
    <w:p w:rsidR="00D00299" w:rsidRDefault="00D00299" w:rsidP="00D00299">
      <w:pPr>
        <w:pStyle w:val="ListParagraph"/>
        <w:numPr>
          <w:ilvl w:val="0"/>
          <w:numId w:val="5"/>
        </w:numPr>
        <w:tabs>
          <w:tab w:val="left" w:pos="1027"/>
        </w:tabs>
        <w:rPr>
          <w:b/>
          <w:color w:val="002060"/>
          <w:sz w:val="24"/>
        </w:rPr>
      </w:pPr>
      <w:r w:rsidRPr="00D00299">
        <w:rPr>
          <w:b/>
          <w:color w:val="002060"/>
          <w:sz w:val="24"/>
        </w:rPr>
        <w:t xml:space="preserve">Significant improvements in attainment need to happen particularly for KS2 Pupil Premium children in Reading, Writing and Maths in Year 6. </w:t>
      </w:r>
    </w:p>
    <w:p w:rsidR="00D00299" w:rsidRDefault="00D00299" w:rsidP="00D00299">
      <w:pPr>
        <w:tabs>
          <w:tab w:val="left" w:pos="1027"/>
        </w:tabs>
        <w:rPr>
          <w:b/>
          <w:color w:val="002060"/>
          <w:sz w:val="24"/>
        </w:rPr>
      </w:pPr>
    </w:p>
    <w:p w:rsidR="00491FEA" w:rsidRDefault="00491FEA" w:rsidP="00D00299">
      <w:pPr>
        <w:tabs>
          <w:tab w:val="left" w:pos="1027"/>
        </w:tabs>
        <w:rPr>
          <w:b/>
          <w:color w:val="002060"/>
          <w:sz w:val="24"/>
        </w:rPr>
      </w:pPr>
      <w:r>
        <w:rPr>
          <w:b/>
          <w:color w:val="002060"/>
          <w:sz w:val="24"/>
        </w:rPr>
        <w:t>Impact of last Pupil Premium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23B33" w:rsidRPr="00823B33" w:rsidTr="00491FEA">
        <w:tc>
          <w:tcPr>
            <w:tcW w:w="7694" w:type="dxa"/>
          </w:tcPr>
          <w:p w:rsidR="00491FEA" w:rsidRPr="00823B33" w:rsidRDefault="00491FEA" w:rsidP="00491FEA">
            <w:pPr>
              <w:tabs>
                <w:tab w:val="left" w:pos="1027"/>
              </w:tabs>
              <w:jc w:val="center"/>
              <w:rPr>
                <w:b/>
                <w:color w:val="002060"/>
              </w:rPr>
            </w:pPr>
            <w:r w:rsidRPr="00823B33">
              <w:rPr>
                <w:b/>
                <w:color w:val="002060"/>
              </w:rPr>
              <w:t xml:space="preserve">Desired Outcome </w:t>
            </w:r>
          </w:p>
        </w:tc>
        <w:tc>
          <w:tcPr>
            <w:tcW w:w="7694" w:type="dxa"/>
          </w:tcPr>
          <w:p w:rsidR="00491FEA" w:rsidRPr="00823B33" w:rsidRDefault="00491FEA" w:rsidP="00491FEA">
            <w:pPr>
              <w:tabs>
                <w:tab w:val="left" w:pos="1027"/>
              </w:tabs>
              <w:jc w:val="center"/>
              <w:rPr>
                <w:b/>
                <w:color w:val="002060"/>
              </w:rPr>
            </w:pPr>
            <w:r w:rsidRPr="00823B33">
              <w:rPr>
                <w:b/>
                <w:color w:val="002060"/>
              </w:rPr>
              <w:t xml:space="preserve">Impact </w:t>
            </w:r>
          </w:p>
        </w:tc>
      </w:tr>
      <w:tr w:rsidR="00823B33" w:rsidRPr="00823B33" w:rsidTr="00491FEA">
        <w:tc>
          <w:tcPr>
            <w:tcW w:w="7694" w:type="dxa"/>
          </w:tcPr>
          <w:p w:rsidR="00491FEA" w:rsidRPr="00823B33" w:rsidRDefault="00491FEA" w:rsidP="00823B33">
            <w:pPr>
              <w:tabs>
                <w:tab w:val="left" w:pos="1027"/>
              </w:tabs>
              <w:rPr>
                <w:b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color w:val="002060"/>
              </w:rPr>
              <w:t>Improved language development leading to diminishing difference in all subjects</w:t>
            </w:r>
          </w:p>
        </w:tc>
        <w:tc>
          <w:tcPr>
            <w:tcW w:w="7694" w:type="dxa"/>
          </w:tcPr>
          <w:p w:rsidR="00491FEA" w:rsidRPr="004702E7" w:rsidRDefault="00491FEA" w:rsidP="004702E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bCs/>
                <w:iCs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bCs/>
                <w:iCs/>
                <w:color w:val="002060"/>
              </w:rPr>
              <w:t xml:space="preserve">As a cohort 57% made expected progress and 43% made more than expected progress since the baseline. </w:t>
            </w:r>
          </w:p>
          <w:p w:rsidR="00491FEA" w:rsidRPr="004702E7" w:rsidRDefault="00491FEA" w:rsidP="004702E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bCs/>
                <w:i/>
                <w:iCs/>
                <w:color w:val="002060"/>
              </w:rPr>
            </w:pPr>
            <w:r w:rsidRPr="004702E7">
              <w:rPr>
                <w:rFonts w:ascii="Century Gothic" w:hAnsi="Century Gothic" w:cs="Arial"/>
                <w:b/>
                <w:bCs/>
                <w:iCs/>
                <w:color w:val="002060"/>
              </w:rPr>
              <w:t xml:space="preserve">Of the children who received SALT interventions in Reception, 7/8 children made at least 6 months progress. </w:t>
            </w:r>
          </w:p>
        </w:tc>
      </w:tr>
      <w:tr w:rsidR="00823B33" w:rsidRPr="00823B33" w:rsidTr="00491FEA">
        <w:tc>
          <w:tcPr>
            <w:tcW w:w="7694" w:type="dxa"/>
          </w:tcPr>
          <w:p w:rsidR="00491FEA" w:rsidRPr="00823B33" w:rsidRDefault="00491FEA" w:rsidP="00491FEA">
            <w:pPr>
              <w:rPr>
                <w:rFonts w:ascii="Century Gothic" w:hAnsi="Century Gothic" w:cs="Arial"/>
                <w:b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color w:val="002060"/>
              </w:rPr>
              <w:t>Increase standards in reading in KS2</w:t>
            </w:r>
          </w:p>
          <w:p w:rsidR="00491FEA" w:rsidRPr="00823B33" w:rsidRDefault="00491FEA" w:rsidP="00491FEA">
            <w:pPr>
              <w:tabs>
                <w:tab w:val="left" w:pos="1027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7694" w:type="dxa"/>
          </w:tcPr>
          <w:p w:rsidR="004702E7" w:rsidRDefault="0042720C" w:rsidP="004702E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002060"/>
              </w:rPr>
            </w:pPr>
            <w:r w:rsidRPr="004702E7">
              <w:rPr>
                <w:rFonts w:ascii="Century Gothic" w:hAnsi="Century Gothic"/>
                <w:b/>
                <w:color w:val="002060"/>
              </w:rPr>
              <w:t>The Q</w:t>
            </w:r>
            <w:r w:rsidR="004702E7">
              <w:rPr>
                <w:rFonts w:ascii="Century Gothic" w:hAnsi="Century Gothic"/>
                <w:b/>
                <w:color w:val="002060"/>
              </w:rPr>
              <w:t xml:space="preserve">uestion </w:t>
            </w:r>
            <w:r w:rsidRPr="004702E7">
              <w:rPr>
                <w:rFonts w:ascii="Century Gothic" w:hAnsi="Century Gothic"/>
                <w:b/>
                <w:color w:val="002060"/>
              </w:rPr>
              <w:t>L</w:t>
            </w:r>
            <w:r w:rsidR="004702E7">
              <w:rPr>
                <w:rFonts w:ascii="Century Gothic" w:hAnsi="Century Gothic"/>
                <w:b/>
                <w:color w:val="002060"/>
              </w:rPr>
              <w:t xml:space="preserve">evel </w:t>
            </w:r>
            <w:r w:rsidRPr="004702E7">
              <w:rPr>
                <w:rFonts w:ascii="Century Gothic" w:hAnsi="Century Gothic"/>
                <w:b/>
                <w:color w:val="002060"/>
              </w:rPr>
              <w:t>A</w:t>
            </w:r>
            <w:r w:rsidR="004702E7">
              <w:rPr>
                <w:rFonts w:ascii="Century Gothic" w:hAnsi="Century Gothic"/>
                <w:b/>
                <w:color w:val="002060"/>
              </w:rPr>
              <w:t>nalysis</w:t>
            </w:r>
            <w:r w:rsidRPr="004702E7">
              <w:rPr>
                <w:rFonts w:ascii="Century Gothic" w:hAnsi="Century Gothic"/>
                <w:b/>
                <w:color w:val="002060"/>
              </w:rPr>
              <w:t xml:space="preserve"> of the KS2 tests concluded that the childr</w:t>
            </w:r>
            <w:r w:rsidR="004702E7">
              <w:rPr>
                <w:rFonts w:ascii="Century Gothic" w:hAnsi="Century Gothic"/>
                <w:b/>
                <w:color w:val="002060"/>
              </w:rPr>
              <w:t>en attempted to answer every question</w:t>
            </w:r>
            <w:r w:rsidRPr="004702E7">
              <w:rPr>
                <w:rFonts w:ascii="Century Gothic" w:hAnsi="Century Gothic"/>
                <w:b/>
                <w:color w:val="002060"/>
              </w:rPr>
              <w:t>.</w:t>
            </w:r>
            <w:r w:rsidR="004702E7">
              <w:rPr>
                <w:rFonts w:ascii="Century Gothic" w:hAnsi="Century Gothic"/>
                <w:b/>
                <w:color w:val="002060"/>
              </w:rPr>
              <w:t xml:space="preserve">  However they needed to focus on papers 1 and 2 rather than paper 3 which is more targeted for the children working at greater depth.   </w:t>
            </w:r>
          </w:p>
          <w:p w:rsidR="0042720C" w:rsidRPr="004702E7" w:rsidRDefault="0042720C" w:rsidP="004702E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002060"/>
              </w:rPr>
            </w:pPr>
            <w:r w:rsidRPr="004702E7">
              <w:rPr>
                <w:rFonts w:ascii="Century Gothic" w:hAnsi="Century Gothic"/>
                <w:b/>
                <w:color w:val="002060"/>
              </w:rPr>
              <w:t>This is going to be addressed this year through 1-2-1 reading, home reading, further practise of SATS papers and timed reading activities</w:t>
            </w:r>
            <w:r w:rsidR="007A53C9">
              <w:rPr>
                <w:rFonts w:ascii="Century Gothic" w:hAnsi="Century Gothic"/>
                <w:b/>
                <w:color w:val="002060"/>
              </w:rPr>
              <w:t>. C</w:t>
            </w:r>
            <w:r w:rsidR="004702E7">
              <w:rPr>
                <w:rFonts w:ascii="Century Gothic" w:hAnsi="Century Gothic"/>
                <w:b/>
                <w:color w:val="002060"/>
              </w:rPr>
              <w:t>hildren working towards or at age related are going to be well rehearsed in the questions they need to prioritise</w:t>
            </w:r>
            <w:r w:rsidRPr="004702E7">
              <w:rPr>
                <w:rFonts w:ascii="Century Gothic" w:hAnsi="Century Gothic"/>
                <w:b/>
                <w:color w:val="002060"/>
              </w:rPr>
              <w:t>.</w:t>
            </w:r>
          </w:p>
          <w:p w:rsidR="00491FEA" w:rsidRPr="004702E7" w:rsidRDefault="0042720C" w:rsidP="004702E7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rPr>
                <w:b/>
                <w:color w:val="002060"/>
              </w:rPr>
            </w:pPr>
            <w:r w:rsidRPr="004702E7">
              <w:rPr>
                <w:rFonts w:ascii="Century Gothic" w:hAnsi="Century Gothic"/>
                <w:b/>
                <w:color w:val="002060"/>
              </w:rPr>
              <w:t xml:space="preserve">We are also going to continue to build a love of reading and introduce reading partners where the year 6 children read to the Reception children.  </w:t>
            </w:r>
          </w:p>
        </w:tc>
      </w:tr>
      <w:tr w:rsidR="00823B33" w:rsidRPr="00823B33" w:rsidTr="00491FEA">
        <w:tc>
          <w:tcPr>
            <w:tcW w:w="7694" w:type="dxa"/>
          </w:tcPr>
          <w:p w:rsidR="0042720C" w:rsidRPr="00823B33" w:rsidRDefault="0042720C" w:rsidP="0042720C">
            <w:pPr>
              <w:rPr>
                <w:rFonts w:ascii="Century Gothic" w:hAnsi="Century Gothic" w:cs="Arial"/>
                <w:b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color w:val="002060"/>
              </w:rPr>
              <w:t>Increased confidence and positive attitudes to writing across school.</w:t>
            </w:r>
          </w:p>
          <w:p w:rsidR="0042720C" w:rsidRPr="00823B33" w:rsidRDefault="0042720C" w:rsidP="0042720C">
            <w:pPr>
              <w:rPr>
                <w:rFonts w:ascii="Century Gothic" w:hAnsi="Century Gothic" w:cs="Arial"/>
                <w:b/>
                <w:color w:val="002060"/>
              </w:rPr>
            </w:pPr>
          </w:p>
          <w:p w:rsidR="00491FEA" w:rsidRPr="00823B33" w:rsidRDefault="00491FEA" w:rsidP="0042720C">
            <w:pPr>
              <w:tabs>
                <w:tab w:val="left" w:pos="1027"/>
              </w:tabs>
              <w:rPr>
                <w:b/>
                <w:color w:val="002060"/>
              </w:rPr>
            </w:pPr>
          </w:p>
        </w:tc>
        <w:tc>
          <w:tcPr>
            <w:tcW w:w="7694" w:type="dxa"/>
          </w:tcPr>
          <w:p w:rsidR="0042720C" w:rsidRPr="007A53C9" w:rsidRDefault="0042720C" w:rsidP="007A53C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 xml:space="preserve">Restorative learning taking place and this having a positive effect on behaviour incidents and exclusions.  </w:t>
            </w:r>
          </w:p>
          <w:p w:rsidR="0042720C" w:rsidRPr="007A53C9" w:rsidRDefault="0042720C" w:rsidP="007A53C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noProof/>
                <w:color w:val="002060"/>
              </w:rPr>
              <w:t>Currently,</w:t>
            </w:r>
            <w:r w:rsidRPr="007A53C9">
              <w:rPr>
                <w:rFonts w:ascii="Century Gothic" w:hAnsi="Century Gothic"/>
                <w:b/>
                <w:color w:val="002060"/>
              </w:rPr>
              <w:t xml:space="preserve"> behaviour for the vast majority of children is still good as commented upon by Steve Dawson, Jackie Reid, </w:t>
            </w:r>
            <w:proofErr w:type="gramStart"/>
            <w:r w:rsidRPr="007A53C9">
              <w:rPr>
                <w:rFonts w:ascii="Century Gothic" w:hAnsi="Century Gothic"/>
                <w:b/>
                <w:color w:val="002060"/>
              </w:rPr>
              <w:t>Sarah</w:t>
            </w:r>
            <w:proofErr w:type="gramEnd"/>
            <w:r w:rsidRPr="007A53C9">
              <w:rPr>
                <w:rFonts w:ascii="Century Gothic" w:hAnsi="Century Gothic"/>
                <w:b/>
                <w:color w:val="002060"/>
              </w:rPr>
              <w:t xml:space="preserve"> </w:t>
            </w:r>
            <w:proofErr w:type="spellStart"/>
            <w:r w:rsidRPr="007A53C9">
              <w:rPr>
                <w:rFonts w:ascii="Century Gothic" w:hAnsi="Century Gothic"/>
                <w:b/>
                <w:color w:val="002060"/>
              </w:rPr>
              <w:t>Coltman</w:t>
            </w:r>
            <w:proofErr w:type="spellEnd"/>
            <w:r w:rsidRPr="007A53C9">
              <w:rPr>
                <w:rFonts w:ascii="Century Gothic" w:hAnsi="Century Gothic"/>
                <w:b/>
                <w:color w:val="002060"/>
              </w:rPr>
              <w:t xml:space="preserve">, Leaders from The Music Federation and staff from the Great Yorkshire Show and The Natural History Museum who all commented on the behaviour of children on a recent educational visits. </w:t>
            </w:r>
          </w:p>
          <w:p w:rsidR="0042720C" w:rsidRPr="007A53C9" w:rsidRDefault="0042720C" w:rsidP="007A53C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 xml:space="preserve">There is however still between 6 and 9 very high tariff children (2% of the </w:t>
            </w:r>
            <w:r w:rsidRPr="007A53C9">
              <w:rPr>
                <w:rFonts w:ascii="Century Gothic" w:hAnsi="Century Gothic"/>
                <w:b/>
                <w:noProof/>
                <w:color w:val="002060"/>
              </w:rPr>
              <w:t>school</w:t>
            </w:r>
            <w:r w:rsidRPr="007A53C9">
              <w:rPr>
                <w:rFonts w:ascii="Century Gothic" w:hAnsi="Century Gothic"/>
                <w:b/>
                <w:color w:val="002060"/>
              </w:rPr>
              <w:t xml:space="preserve"> population) who are </w:t>
            </w:r>
            <w:r w:rsidRPr="007A53C9">
              <w:rPr>
                <w:rFonts w:ascii="Century Gothic" w:hAnsi="Century Gothic"/>
                <w:b/>
                <w:noProof/>
                <w:color w:val="002060"/>
              </w:rPr>
              <w:t>being managed</w:t>
            </w:r>
            <w:r w:rsidRPr="007A53C9">
              <w:rPr>
                <w:rFonts w:ascii="Century Gothic" w:hAnsi="Century Gothic"/>
                <w:b/>
                <w:color w:val="002060"/>
              </w:rPr>
              <w:t xml:space="preserve"> well but </w:t>
            </w:r>
            <w:r w:rsidRPr="007A53C9">
              <w:rPr>
                <w:rFonts w:ascii="Century Gothic" w:hAnsi="Century Gothic"/>
                <w:b/>
                <w:color w:val="002060"/>
              </w:rPr>
              <w:lastRenderedPageBreak/>
              <w:t xml:space="preserve">who would cause significant disruption in their classrooms. For this reason they are either being taught: </w:t>
            </w:r>
          </w:p>
          <w:p w:rsidR="0042720C" w:rsidRPr="007A53C9" w:rsidRDefault="0042720C" w:rsidP="007A53C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>off-site (REACH)</w:t>
            </w:r>
          </w:p>
          <w:p w:rsidR="0042720C" w:rsidRPr="007A53C9" w:rsidRDefault="0042720C" w:rsidP="007A53C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>in the school’s support centre (Restorative Learning)</w:t>
            </w:r>
          </w:p>
          <w:p w:rsidR="00491FEA" w:rsidRPr="007A53C9" w:rsidRDefault="0042720C" w:rsidP="007A53C9">
            <w:pPr>
              <w:pStyle w:val="ListParagraph"/>
              <w:numPr>
                <w:ilvl w:val="0"/>
                <w:numId w:val="8"/>
              </w:numPr>
              <w:tabs>
                <w:tab w:val="left" w:pos="1027"/>
              </w:tabs>
              <w:rPr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>with a reduced timetable</w:t>
            </w:r>
          </w:p>
        </w:tc>
      </w:tr>
      <w:tr w:rsidR="00823B33" w:rsidRPr="00823B33" w:rsidTr="00491FEA">
        <w:tc>
          <w:tcPr>
            <w:tcW w:w="7694" w:type="dxa"/>
          </w:tcPr>
          <w:p w:rsidR="0042720C" w:rsidRPr="00823B33" w:rsidRDefault="0042720C" w:rsidP="0042720C">
            <w:pPr>
              <w:rPr>
                <w:rFonts w:ascii="Century Gothic" w:hAnsi="Century Gothic" w:cs="Arial"/>
                <w:b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color w:val="002060"/>
              </w:rPr>
              <w:lastRenderedPageBreak/>
              <w:t>A – E</w:t>
            </w:r>
          </w:p>
          <w:p w:rsidR="0042720C" w:rsidRPr="00823B33" w:rsidRDefault="0042720C" w:rsidP="0042720C">
            <w:pPr>
              <w:rPr>
                <w:rFonts w:ascii="Century Gothic" w:hAnsi="Century Gothic" w:cs="Arial"/>
                <w:b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color w:val="002060"/>
              </w:rPr>
              <w:t>Quality of Wave 1 High Quality teaching increased so 90% is at least good with 20% outstanding</w:t>
            </w:r>
          </w:p>
        </w:tc>
        <w:tc>
          <w:tcPr>
            <w:tcW w:w="7694" w:type="dxa"/>
          </w:tcPr>
          <w:p w:rsidR="0042720C" w:rsidRPr="007A53C9" w:rsidRDefault="0042720C" w:rsidP="007A53C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 xml:space="preserve">On the teaching overview in the </w:t>
            </w:r>
            <w:proofErr w:type="gramStart"/>
            <w:r w:rsidRPr="007A53C9">
              <w:rPr>
                <w:rFonts w:ascii="Century Gothic" w:hAnsi="Century Gothic"/>
                <w:b/>
                <w:color w:val="002060"/>
              </w:rPr>
              <w:t>Summer</w:t>
            </w:r>
            <w:proofErr w:type="gramEnd"/>
            <w:r w:rsidRPr="007A53C9">
              <w:rPr>
                <w:rFonts w:ascii="Century Gothic" w:hAnsi="Century Gothic"/>
                <w:b/>
                <w:color w:val="002060"/>
              </w:rPr>
              <w:t xml:space="preserve"> term 18 teachers were observed and 22% were below the required standard, 11% were outstanding, 44% good and 22% were good with outstanding features. </w:t>
            </w:r>
          </w:p>
          <w:p w:rsidR="0042720C" w:rsidRPr="00823B33" w:rsidRDefault="0042720C" w:rsidP="0042720C">
            <w:pPr>
              <w:rPr>
                <w:rFonts w:ascii="Century Gothic" w:hAnsi="Century Gothic"/>
                <w:color w:val="002060"/>
              </w:rPr>
            </w:pPr>
          </w:p>
          <w:p w:rsidR="0042720C" w:rsidRPr="007A53C9" w:rsidRDefault="0042720C" w:rsidP="007A53C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 xml:space="preserve">Since this, two of the teachers who were not teaching to the required standard have since left.  One of the teachers is an NQT and the other is a new member of staff who will be taking part in a lot of training and coaching. </w:t>
            </w:r>
          </w:p>
          <w:p w:rsidR="00491FEA" w:rsidRPr="00823B33" w:rsidRDefault="00491FEA" w:rsidP="00491FEA">
            <w:pPr>
              <w:tabs>
                <w:tab w:val="left" w:pos="1027"/>
              </w:tabs>
              <w:jc w:val="center"/>
              <w:rPr>
                <w:b/>
                <w:color w:val="002060"/>
              </w:rPr>
            </w:pPr>
          </w:p>
        </w:tc>
      </w:tr>
      <w:tr w:rsidR="00823B33" w:rsidRPr="00823B33" w:rsidTr="00491FEA">
        <w:tc>
          <w:tcPr>
            <w:tcW w:w="7694" w:type="dxa"/>
          </w:tcPr>
          <w:p w:rsidR="0042720C" w:rsidRPr="00823B33" w:rsidRDefault="0042720C" w:rsidP="0042720C">
            <w:pPr>
              <w:rPr>
                <w:rFonts w:ascii="Century Gothic" w:hAnsi="Century Gothic"/>
                <w:b/>
                <w:color w:val="002060"/>
              </w:rPr>
            </w:pPr>
            <w:r w:rsidRPr="00823B33">
              <w:rPr>
                <w:rFonts w:ascii="Century Gothic" w:hAnsi="Century Gothic"/>
                <w:b/>
                <w:color w:val="002060"/>
              </w:rPr>
              <w:t>Improved language development</w:t>
            </w:r>
          </w:p>
          <w:p w:rsidR="00491FEA" w:rsidRPr="00823B33" w:rsidRDefault="00491FEA" w:rsidP="00491FEA">
            <w:pPr>
              <w:tabs>
                <w:tab w:val="left" w:pos="1027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7694" w:type="dxa"/>
          </w:tcPr>
          <w:p w:rsidR="0042720C" w:rsidRPr="007A53C9" w:rsidRDefault="0042720C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bCs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bCs/>
                <w:color w:val="002060"/>
              </w:rPr>
              <w:t xml:space="preserve">As a cohort 57% made expected progress and 43% made more than expected progress since the baseline. </w:t>
            </w:r>
          </w:p>
          <w:p w:rsidR="00491FEA" w:rsidRPr="007A53C9" w:rsidRDefault="0042720C" w:rsidP="007A53C9">
            <w:pPr>
              <w:pStyle w:val="ListParagraph"/>
              <w:numPr>
                <w:ilvl w:val="0"/>
                <w:numId w:val="10"/>
              </w:numPr>
              <w:tabs>
                <w:tab w:val="left" w:pos="1027"/>
              </w:tabs>
              <w:rPr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bCs/>
                <w:color w:val="002060"/>
              </w:rPr>
              <w:t>Of the children who received SALT intervent</w:t>
            </w:r>
            <w:r w:rsidRPr="007A53C9">
              <w:rPr>
                <w:rFonts w:ascii="Century Gothic" w:hAnsi="Century Gothic" w:cs="Arial"/>
                <w:b/>
                <w:bCs/>
                <w:color w:val="002060"/>
              </w:rPr>
              <w:t xml:space="preserve">ions in Reception, 7/8 children </w:t>
            </w:r>
            <w:r w:rsidRPr="007A53C9">
              <w:rPr>
                <w:rFonts w:ascii="Century Gothic" w:hAnsi="Century Gothic" w:cs="Arial"/>
                <w:b/>
                <w:bCs/>
                <w:color w:val="002060"/>
              </w:rPr>
              <w:t>made at least 6 months progress.</w:t>
            </w:r>
          </w:p>
        </w:tc>
      </w:tr>
      <w:tr w:rsidR="00823B33" w:rsidRPr="00823B33" w:rsidTr="00491FEA">
        <w:tc>
          <w:tcPr>
            <w:tcW w:w="7694" w:type="dxa"/>
          </w:tcPr>
          <w:p w:rsidR="0042720C" w:rsidRPr="00823B33" w:rsidRDefault="0042720C" w:rsidP="0042720C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bCs/>
                <w:color w:val="002060"/>
              </w:rPr>
              <w:t xml:space="preserve">Increased Reading standards of PP in KS2 </w:t>
            </w:r>
          </w:p>
          <w:p w:rsidR="00491FEA" w:rsidRPr="00823B33" w:rsidRDefault="00491FEA" w:rsidP="00491FEA">
            <w:pPr>
              <w:tabs>
                <w:tab w:val="left" w:pos="1027"/>
              </w:tabs>
              <w:jc w:val="center"/>
              <w:rPr>
                <w:b/>
                <w:color w:val="002060"/>
              </w:rPr>
            </w:pPr>
          </w:p>
        </w:tc>
        <w:tc>
          <w:tcPr>
            <w:tcW w:w="7694" w:type="dxa"/>
          </w:tcPr>
          <w:p w:rsidR="0042720C" w:rsidRPr="007A53C9" w:rsidRDefault="0042720C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 xml:space="preserve">Through observations it was found that teachers were following the scheme and a range of reading strategies were used by children. </w:t>
            </w:r>
          </w:p>
          <w:p w:rsidR="0042720C" w:rsidRPr="007A53C9" w:rsidRDefault="0042720C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>The QLA of the KS2 tests concluded that the children didn’t have the reading stamina to complete all the questions.  This is going to be addressed this year through 1-2-1 reading, home reading, further practise of SATS papers and timed reading activities.</w:t>
            </w:r>
          </w:p>
          <w:p w:rsidR="0042720C" w:rsidRPr="003C0DAF" w:rsidRDefault="0042720C" w:rsidP="0042720C">
            <w:pPr>
              <w:pStyle w:val="ListParagraph"/>
              <w:numPr>
                <w:ilvl w:val="0"/>
                <w:numId w:val="10"/>
              </w:numPr>
              <w:tabs>
                <w:tab w:val="left" w:pos="1027"/>
              </w:tabs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 xml:space="preserve">We are also going to continue to build a love of reading and introduce reading partners where the year 6 children read to the Reception children.  </w:t>
            </w:r>
          </w:p>
        </w:tc>
      </w:tr>
      <w:tr w:rsidR="00823B33" w:rsidRPr="00823B33" w:rsidTr="00491FEA">
        <w:tc>
          <w:tcPr>
            <w:tcW w:w="7694" w:type="dxa"/>
          </w:tcPr>
          <w:p w:rsidR="0042720C" w:rsidRPr="00823B33" w:rsidRDefault="0042720C" w:rsidP="0042720C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</w:p>
          <w:p w:rsidR="0042720C" w:rsidRPr="00823B33" w:rsidRDefault="00823B33" w:rsidP="0042720C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color w:val="002060"/>
              </w:rPr>
              <w:t>Improved social and emotional development</w:t>
            </w:r>
          </w:p>
        </w:tc>
        <w:tc>
          <w:tcPr>
            <w:tcW w:w="7694" w:type="dxa"/>
          </w:tcPr>
          <w:p w:rsidR="0042720C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/>
                <w:b/>
                <w:color w:val="002060"/>
              </w:rPr>
              <w:t>Restorative learning taking place and this having a positive effect on behaviour incidents and exclusions.  Nurture taking place with a familiar adult and these will continue in the new term.</w:t>
            </w:r>
          </w:p>
        </w:tc>
      </w:tr>
      <w:tr w:rsidR="00823B33" w:rsidRPr="00823B33" w:rsidTr="00491FEA">
        <w:tc>
          <w:tcPr>
            <w:tcW w:w="7694" w:type="dxa"/>
          </w:tcPr>
          <w:p w:rsidR="0042720C" w:rsidRPr="00823B33" w:rsidRDefault="0042720C" w:rsidP="0042720C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</w:p>
          <w:p w:rsidR="0042720C" w:rsidRPr="00823B33" w:rsidRDefault="00823B33" w:rsidP="0042720C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  <w:r w:rsidRPr="00823B33">
              <w:rPr>
                <w:rFonts w:ascii="Century Gothic" w:hAnsi="Century Gothic" w:cs="Arial"/>
                <w:b/>
                <w:color w:val="002060"/>
              </w:rPr>
              <w:t>Develop reasoning skills to raise standards in KS2 maths</w:t>
            </w:r>
          </w:p>
        </w:tc>
        <w:tc>
          <w:tcPr>
            <w:tcW w:w="7694" w:type="dxa"/>
          </w:tcPr>
          <w:p w:rsidR="00823B33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Staff are all using the Maths no problem Singapore-style lessons and </w:t>
            </w:r>
            <w:r w:rsidR="007A53C9">
              <w:rPr>
                <w:rFonts w:ascii="Century Gothic" w:hAnsi="Century Gothic" w:cs="Arial"/>
                <w:b/>
                <w:color w:val="002060"/>
              </w:rPr>
              <w:t>this is showing improvements with</w:t>
            </w:r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 reasoning but due to </w:t>
            </w:r>
            <w:r w:rsidRPr="007A53C9">
              <w:rPr>
                <w:rFonts w:ascii="Century Gothic" w:hAnsi="Century Gothic" w:cs="Arial"/>
                <w:b/>
                <w:color w:val="002060"/>
              </w:rPr>
              <w:lastRenderedPageBreak/>
              <w:t>stamina and arithmetic skills</w:t>
            </w:r>
            <w:r w:rsidR="007A53C9">
              <w:rPr>
                <w:rFonts w:ascii="Century Gothic" w:hAnsi="Century Gothic" w:cs="Arial"/>
                <w:b/>
                <w:color w:val="002060"/>
              </w:rPr>
              <w:t>,</w:t>
            </w:r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 the schools KS2 results </w:t>
            </w:r>
            <w:r w:rsidR="007A53C9">
              <w:rPr>
                <w:rFonts w:ascii="Century Gothic" w:hAnsi="Century Gothic" w:cs="Arial"/>
                <w:b/>
                <w:color w:val="002060"/>
              </w:rPr>
              <w:t xml:space="preserve">have </w:t>
            </w:r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dropped this year   </w:t>
            </w:r>
          </w:p>
          <w:p w:rsidR="0042720C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color w:val="002060"/>
              </w:rPr>
              <w:t>Fluent in 5 to be introduced next year.</w:t>
            </w:r>
          </w:p>
        </w:tc>
      </w:tr>
      <w:tr w:rsidR="00823B33" w:rsidRPr="00823B33" w:rsidTr="00491FEA">
        <w:tc>
          <w:tcPr>
            <w:tcW w:w="7694" w:type="dxa"/>
          </w:tcPr>
          <w:p w:rsidR="00823B33" w:rsidRPr="00823B33" w:rsidRDefault="00823B33" w:rsidP="00823B33">
            <w:pPr>
              <w:rPr>
                <w:rFonts w:ascii="Century Gothic" w:hAnsi="Century Gothic"/>
                <w:b/>
                <w:color w:val="002060"/>
              </w:rPr>
            </w:pPr>
            <w:r w:rsidRPr="00823B33">
              <w:rPr>
                <w:rFonts w:ascii="Century Gothic" w:hAnsi="Century Gothic"/>
                <w:b/>
                <w:color w:val="002060"/>
              </w:rPr>
              <w:lastRenderedPageBreak/>
              <w:t xml:space="preserve">Increased parental engagement/ awareness of value of home support </w:t>
            </w:r>
          </w:p>
          <w:p w:rsidR="0042720C" w:rsidRPr="00823B33" w:rsidRDefault="0042720C" w:rsidP="0042720C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</w:p>
          <w:p w:rsidR="0042720C" w:rsidRPr="00823B33" w:rsidRDefault="0042720C" w:rsidP="0042720C">
            <w:pPr>
              <w:rPr>
                <w:rFonts w:ascii="Century Gothic" w:hAnsi="Century Gothic" w:cs="Arial"/>
                <w:b/>
                <w:bCs/>
                <w:color w:val="002060"/>
              </w:rPr>
            </w:pPr>
          </w:p>
        </w:tc>
        <w:tc>
          <w:tcPr>
            <w:tcW w:w="7694" w:type="dxa"/>
          </w:tcPr>
          <w:p w:rsidR="0042720C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color w:val="002060"/>
              </w:rPr>
              <w:t>The Parent Support Adviser has had a massive impact on parental engagement, and they have conducted sessions on behaviour, courses for parents, carried out cluster referrals EHPs and carried out home visits. The PSA also delivers a mum’s and tots group to engage vulnerable families.</w:t>
            </w:r>
          </w:p>
        </w:tc>
      </w:tr>
      <w:tr w:rsidR="00823B33" w:rsidRPr="00823B33" w:rsidTr="00491FEA">
        <w:tc>
          <w:tcPr>
            <w:tcW w:w="7694" w:type="dxa"/>
          </w:tcPr>
          <w:p w:rsidR="00823B33" w:rsidRPr="00823B33" w:rsidRDefault="00823B33" w:rsidP="00823B33">
            <w:pPr>
              <w:rPr>
                <w:rFonts w:ascii="Century Gothic" w:hAnsi="Century Gothic"/>
                <w:b/>
                <w:color w:val="002060"/>
              </w:rPr>
            </w:pPr>
            <w:r w:rsidRPr="00823B33">
              <w:rPr>
                <w:rFonts w:ascii="Century Gothic" w:hAnsi="Century Gothic"/>
                <w:b/>
                <w:color w:val="002060"/>
              </w:rPr>
              <w:t>Increased attendance and punctuality rates for PP pupils</w:t>
            </w:r>
          </w:p>
          <w:p w:rsidR="00823B33" w:rsidRPr="00823B33" w:rsidRDefault="00823B33" w:rsidP="00823B33">
            <w:pPr>
              <w:rPr>
                <w:rFonts w:ascii="Century Gothic" w:hAnsi="Century Gothic"/>
                <w:b/>
                <w:color w:val="002060"/>
              </w:rPr>
            </w:pPr>
          </w:p>
          <w:p w:rsidR="00823B33" w:rsidRPr="00823B33" w:rsidRDefault="00823B33" w:rsidP="00823B33">
            <w:pPr>
              <w:rPr>
                <w:rFonts w:ascii="Century Gothic" w:hAnsi="Century Gothic" w:cs="Arial"/>
                <w:b/>
                <w:color w:val="002060"/>
              </w:rPr>
            </w:pPr>
          </w:p>
        </w:tc>
        <w:tc>
          <w:tcPr>
            <w:tcW w:w="7694" w:type="dxa"/>
          </w:tcPr>
          <w:p w:rsidR="00823B33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The parent support adviser and attendance officer work tirelessly to improve attendance figures for our vulnerable families. </w:t>
            </w:r>
          </w:p>
          <w:p w:rsidR="00823B33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The walking bus helps many of our families and the breakfast club which is subsidised by the school to ensure that the children are getting a healthy breakfast and that they are in school on time. </w:t>
            </w:r>
          </w:p>
          <w:p w:rsidR="00823B33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color w:val="002060"/>
              </w:rPr>
              <w:t>Attendance figures for PP children last year were 93% and this was a gap of 3% to non-PP children.</w:t>
            </w:r>
          </w:p>
        </w:tc>
      </w:tr>
      <w:tr w:rsidR="00823B33" w:rsidRPr="00823B33" w:rsidTr="00491FEA">
        <w:tc>
          <w:tcPr>
            <w:tcW w:w="7694" w:type="dxa"/>
          </w:tcPr>
          <w:p w:rsidR="00823B33" w:rsidRPr="00823B33" w:rsidRDefault="00823B33" w:rsidP="00823B33">
            <w:pPr>
              <w:rPr>
                <w:rFonts w:ascii="Century Gothic" w:hAnsi="Century Gothic"/>
                <w:b/>
                <w:color w:val="002060"/>
              </w:rPr>
            </w:pPr>
            <w:r w:rsidRPr="00823B33">
              <w:rPr>
                <w:rFonts w:ascii="Century Gothic" w:hAnsi="Century Gothic"/>
                <w:b/>
                <w:color w:val="002060"/>
              </w:rPr>
              <w:t>Improved social and emotional development</w:t>
            </w:r>
          </w:p>
          <w:p w:rsidR="00823B33" w:rsidRPr="00823B33" w:rsidRDefault="00823B33" w:rsidP="00823B33">
            <w:pPr>
              <w:rPr>
                <w:rFonts w:ascii="Century Gothic" w:hAnsi="Century Gothic" w:cs="Arial"/>
                <w:b/>
                <w:color w:val="002060"/>
              </w:rPr>
            </w:pPr>
          </w:p>
          <w:p w:rsidR="00823B33" w:rsidRPr="00823B33" w:rsidRDefault="00823B33" w:rsidP="00823B33">
            <w:pPr>
              <w:rPr>
                <w:rFonts w:ascii="Century Gothic" w:hAnsi="Century Gothic" w:cs="Arial"/>
                <w:b/>
                <w:color w:val="002060"/>
              </w:rPr>
            </w:pPr>
          </w:p>
        </w:tc>
        <w:tc>
          <w:tcPr>
            <w:tcW w:w="7694" w:type="dxa"/>
          </w:tcPr>
          <w:p w:rsidR="00823B33" w:rsidRPr="007A53C9" w:rsidRDefault="00823B33" w:rsidP="007A53C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color w:val="002060"/>
              </w:rPr>
            </w:pPr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Children participated in a range of </w:t>
            </w:r>
            <w:proofErr w:type="spellStart"/>
            <w:r w:rsidRPr="007A53C9">
              <w:rPr>
                <w:rFonts w:ascii="Century Gothic" w:hAnsi="Century Gothic" w:cs="Arial"/>
                <w:b/>
                <w:color w:val="002060"/>
              </w:rPr>
              <w:t>residentials</w:t>
            </w:r>
            <w:proofErr w:type="spellEnd"/>
            <w:r w:rsidRPr="007A53C9">
              <w:rPr>
                <w:rFonts w:ascii="Century Gothic" w:hAnsi="Century Gothic" w:cs="Arial"/>
                <w:b/>
                <w:color w:val="002060"/>
              </w:rPr>
              <w:t xml:space="preserve"> and trips and many of these were subsidised, which gave the children the opportunity to have experiences that they wouldn’t normally have the chance to attend.</w:t>
            </w:r>
          </w:p>
        </w:tc>
      </w:tr>
    </w:tbl>
    <w:p w:rsidR="00491FEA" w:rsidRDefault="00491FEA" w:rsidP="00491FEA">
      <w:pPr>
        <w:tabs>
          <w:tab w:val="left" w:pos="1027"/>
        </w:tabs>
        <w:jc w:val="center"/>
        <w:rPr>
          <w:b/>
          <w:color w:val="002060"/>
          <w:sz w:val="24"/>
        </w:rPr>
      </w:pPr>
    </w:p>
    <w:p w:rsidR="00823B33" w:rsidRPr="003C0DAF" w:rsidRDefault="00823B33" w:rsidP="00823B33">
      <w:pPr>
        <w:spacing w:after="0"/>
        <w:jc w:val="center"/>
        <w:rPr>
          <w:rFonts w:ascii="Century Gothic" w:eastAsia="Times New Roman" w:hAnsi="Century Gothic" w:cs="Tahoma"/>
          <w:b/>
          <w:color w:val="002060"/>
          <w:sz w:val="32"/>
          <w:szCs w:val="24"/>
          <w:u w:val="single"/>
        </w:rPr>
      </w:pPr>
      <w:r w:rsidRPr="003C0DAF">
        <w:rPr>
          <w:rFonts w:ascii="Century Gothic" w:eastAsia="Times New Roman" w:hAnsi="Century Gothic" w:cs="Tahoma"/>
          <w:b/>
          <w:color w:val="002060"/>
          <w:sz w:val="32"/>
          <w:szCs w:val="24"/>
          <w:u w:val="single"/>
        </w:rPr>
        <w:t>Priorities for Pupil Premium spending 2019/20</w:t>
      </w:r>
    </w:p>
    <w:p w:rsidR="00823B33" w:rsidRPr="003C0DAF" w:rsidRDefault="00823B33" w:rsidP="00823B33">
      <w:pPr>
        <w:spacing w:after="0"/>
        <w:jc w:val="center"/>
        <w:rPr>
          <w:rFonts w:ascii="Century Gothic" w:eastAsia="Times New Roman" w:hAnsi="Century Gothic" w:cs="Tahoma"/>
          <w:b/>
          <w:color w:val="002060"/>
          <w:sz w:val="3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736"/>
        <w:gridCol w:w="2097"/>
      </w:tblGrid>
      <w:tr w:rsidR="003C0DAF" w:rsidRPr="003C0DAF" w:rsidTr="008C41A3">
        <w:trPr>
          <w:trHeight w:val="648"/>
        </w:trPr>
        <w:tc>
          <w:tcPr>
            <w:tcW w:w="1555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Tahoma"/>
                <w:b/>
                <w:color w:val="002060"/>
                <w:sz w:val="24"/>
                <w:szCs w:val="24"/>
                <w:u w:val="single"/>
              </w:rPr>
            </w:pPr>
            <w:r w:rsidRPr="003C0DAF">
              <w:rPr>
                <w:rFonts w:ascii="Century Gothic" w:eastAsia="Times New Roman" w:hAnsi="Century Gothic" w:cs="Tahoma"/>
                <w:b/>
                <w:color w:val="002060"/>
                <w:sz w:val="24"/>
                <w:szCs w:val="24"/>
                <w:u w:val="single"/>
              </w:rPr>
              <w:t xml:space="preserve">Priority 1. </w:t>
            </w:r>
          </w:p>
        </w:tc>
        <w:tc>
          <w:tcPr>
            <w:tcW w:w="11736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</w:rPr>
            </w:pPr>
            <w:r w:rsidRPr="003C0DAF"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</w:rPr>
              <w:t xml:space="preserve">Increase the progress and attainment of pupil premium children to diminish the difference between PP and non-PP children in Reading, Writing, Maths and Phonics. 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</w:rPr>
            </w:pPr>
            <w:r w:rsidRPr="003C0DAF"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</w:rPr>
              <w:t>(Barriers A, F)</w:t>
            </w:r>
          </w:p>
        </w:tc>
      </w:tr>
      <w:tr w:rsidR="003C0DAF" w:rsidRPr="003C0DAF" w:rsidTr="008C41A3">
        <w:tc>
          <w:tcPr>
            <w:tcW w:w="1555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Tahoma"/>
                <w:b/>
                <w:color w:val="002060"/>
                <w:sz w:val="24"/>
                <w:szCs w:val="24"/>
                <w:u w:val="single"/>
              </w:rPr>
            </w:pPr>
            <w:r w:rsidRPr="003C0DAF">
              <w:rPr>
                <w:rFonts w:ascii="Century Gothic" w:eastAsia="Times New Roman" w:hAnsi="Century Gothic" w:cs="Tahoma"/>
                <w:b/>
                <w:color w:val="002060"/>
                <w:sz w:val="24"/>
                <w:szCs w:val="24"/>
                <w:u w:val="single"/>
              </w:rPr>
              <w:t>Priority 2.</w:t>
            </w:r>
          </w:p>
        </w:tc>
        <w:tc>
          <w:tcPr>
            <w:tcW w:w="11736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Arial"/>
                <w:noProof/>
                <w:color w:val="002060"/>
                <w:sz w:val="24"/>
                <w:szCs w:val="24"/>
                <w:lang w:eastAsia="en-GB"/>
              </w:rPr>
              <w:t xml:space="preserve">To improve the language acquisition throughout the school so that the children can access the curriculum sucessfully. 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noProof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Tahoma"/>
                <w:bCs/>
                <w:color w:val="002060"/>
                <w:sz w:val="24"/>
                <w:szCs w:val="24"/>
              </w:rPr>
              <w:t>(Barriers A, F)</w:t>
            </w:r>
          </w:p>
        </w:tc>
      </w:tr>
      <w:tr w:rsidR="003C0DAF" w:rsidRPr="003C0DAF" w:rsidTr="008C41A3">
        <w:tc>
          <w:tcPr>
            <w:tcW w:w="1555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Tahoma"/>
                <w:b/>
                <w:color w:val="002060"/>
                <w:sz w:val="32"/>
                <w:szCs w:val="24"/>
                <w:u w:val="single"/>
              </w:rPr>
            </w:pPr>
            <w:r w:rsidRPr="003C0DAF">
              <w:rPr>
                <w:rFonts w:ascii="Century Gothic" w:eastAsia="Times New Roman" w:hAnsi="Century Gothic" w:cs="Tahoma"/>
                <w:b/>
                <w:color w:val="002060"/>
                <w:sz w:val="24"/>
                <w:szCs w:val="24"/>
                <w:u w:val="single"/>
              </w:rPr>
              <w:t>Priority 3.</w:t>
            </w:r>
          </w:p>
        </w:tc>
        <w:tc>
          <w:tcPr>
            <w:tcW w:w="11736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To foster positive learning behaviours so that the children can have a growth </w:t>
            </w:r>
            <w:proofErr w:type="spellStart"/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mindset</w:t>
            </w:r>
            <w:proofErr w:type="spellEnd"/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 to learning and are resilient learners. 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(Barriers C, E, F)</w:t>
            </w:r>
          </w:p>
        </w:tc>
      </w:tr>
      <w:tr w:rsidR="003C0DAF" w:rsidRPr="003C0DAF" w:rsidTr="008C41A3">
        <w:tc>
          <w:tcPr>
            <w:tcW w:w="1555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Tahoma"/>
                <w:b/>
                <w:color w:val="002060"/>
                <w:sz w:val="32"/>
                <w:szCs w:val="24"/>
                <w:u w:val="single"/>
              </w:rPr>
            </w:pPr>
            <w:r w:rsidRPr="003C0DAF">
              <w:rPr>
                <w:rFonts w:ascii="Century Gothic" w:eastAsia="Times New Roman" w:hAnsi="Century Gothic" w:cs="Tahoma"/>
                <w:b/>
                <w:color w:val="002060"/>
                <w:sz w:val="24"/>
                <w:szCs w:val="24"/>
                <w:u w:val="single"/>
              </w:rPr>
              <w:t>Priority 4.</w:t>
            </w:r>
          </w:p>
        </w:tc>
        <w:tc>
          <w:tcPr>
            <w:tcW w:w="11736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Increase punctuality and attendance for PP children to diminish any in-school difference. </w:t>
            </w:r>
          </w:p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2097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(Barriers E, F)</w:t>
            </w:r>
          </w:p>
        </w:tc>
      </w:tr>
      <w:tr w:rsidR="003C0DAF" w:rsidRPr="003C0DAF" w:rsidTr="008C41A3">
        <w:tc>
          <w:tcPr>
            <w:tcW w:w="1555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Tahoma"/>
                <w:b/>
                <w:color w:val="002060"/>
                <w:sz w:val="32"/>
                <w:szCs w:val="24"/>
                <w:u w:val="single"/>
              </w:rPr>
            </w:pPr>
            <w:r w:rsidRPr="003C0DAF">
              <w:rPr>
                <w:rFonts w:ascii="Century Gothic" w:eastAsia="Times New Roman" w:hAnsi="Century Gothic" w:cs="Tahoma"/>
                <w:b/>
                <w:color w:val="002060"/>
                <w:sz w:val="24"/>
                <w:szCs w:val="24"/>
                <w:u w:val="single"/>
              </w:rPr>
              <w:t>Priority 5.</w:t>
            </w:r>
          </w:p>
        </w:tc>
        <w:tc>
          <w:tcPr>
            <w:tcW w:w="11736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 xml:space="preserve">To further engage parents and strengthen the partnership between home and school, to include increased home reading, homework completion and attendance at information events. 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:rsidR="00823B33" w:rsidRPr="003C0DAF" w:rsidRDefault="00823B33" w:rsidP="008C41A3">
            <w:pP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</w:pPr>
            <w:r w:rsidRPr="003C0DAF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en-GB"/>
              </w:rPr>
              <w:t>(Barrier F)</w:t>
            </w:r>
          </w:p>
        </w:tc>
      </w:tr>
    </w:tbl>
    <w:p w:rsidR="00823B33" w:rsidRPr="003C0DAF" w:rsidRDefault="00823B33" w:rsidP="00823B33">
      <w:pPr>
        <w:tabs>
          <w:tab w:val="left" w:pos="1027"/>
        </w:tabs>
        <w:rPr>
          <w:b/>
          <w:color w:val="002060"/>
          <w:sz w:val="24"/>
        </w:rPr>
      </w:pPr>
    </w:p>
    <w:p w:rsidR="00D00299" w:rsidRPr="003C0DAF" w:rsidRDefault="00823B33" w:rsidP="00D00299">
      <w:pPr>
        <w:tabs>
          <w:tab w:val="left" w:pos="1027"/>
        </w:tabs>
        <w:rPr>
          <w:b/>
          <w:color w:val="002060"/>
          <w:sz w:val="24"/>
        </w:rPr>
      </w:pPr>
      <w:r w:rsidRPr="003C0DAF">
        <w:rPr>
          <w:b/>
          <w:color w:val="002060"/>
          <w:sz w:val="24"/>
        </w:rPr>
        <w:lastRenderedPageBreak/>
        <w:t xml:space="preserve">Please refer to the new Pupil Premium Strategy for a breakdown of the priorities and a list of actions. </w:t>
      </w:r>
    </w:p>
    <w:p w:rsidR="00522C3A" w:rsidRPr="003C0DAF" w:rsidRDefault="00522C3A" w:rsidP="00A16849">
      <w:pPr>
        <w:tabs>
          <w:tab w:val="left" w:pos="1027"/>
        </w:tabs>
        <w:rPr>
          <w:b/>
          <w:color w:val="002060"/>
          <w:sz w:val="24"/>
        </w:rPr>
      </w:pPr>
    </w:p>
    <w:p w:rsidR="00522C3A" w:rsidRPr="003C0DAF" w:rsidRDefault="00522C3A" w:rsidP="00A16849">
      <w:pPr>
        <w:tabs>
          <w:tab w:val="left" w:pos="1027"/>
        </w:tabs>
        <w:rPr>
          <w:b/>
          <w:color w:val="002060"/>
          <w:sz w:val="24"/>
        </w:rPr>
      </w:pPr>
    </w:p>
    <w:p w:rsidR="00522C3A" w:rsidRPr="003C0DAF" w:rsidRDefault="00522C3A" w:rsidP="00A16849">
      <w:pPr>
        <w:tabs>
          <w:tab w:val="left" w:pos="1027"/>
        </w:tabs>
        <w:rPr>
          <w:b/>
          <w:color w:val="002060"/>
          <w:sz w:val="24"/>
        </w:rPr>
      </w:pPr>
    </w:p>
    <w:sectPr w:rsidR="00522C3A" w:rsidRPr="003C0DAF" w:rsidSect="00522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53C"/>
    <w:multiLevelType w:val="hybridMultilevel"/>
    <w:tmpl w:val="420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3ED"/>
    <w:multiLevelType w:val="hybridMultilevel"/>
    <w:tmpl w:val="AA96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270"/>
    <w:multiLevelType w:val="hybridMultilevel"/>
    <w:tmpl w:val="D43E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3EA"/>
    <w:multiLevelType w:val="hybridMultilevel"/>
    <w:tmpl w:val="0DAC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6C3"/>
    <w:multiLevelType w:val="hybridMultilevel"/>
    <w:tmpl w:val="D078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334A"/>
    <w:multiLevelType w:val="hybridMultilevel"/>
    <w:tmpl w:val="992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001BE"/>
    <w:multiLevelType w:val="hybridMultilevel"/>
    <w:tmpl w:val="FE04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2F96"/>
    <w:multiLevelType w:val="hybridMultilevel"/>
    <w:tmpl w:val="72B2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1A45"/>
    <w:multiLevelType w:val="hybridMultilevel"/>
    <w:tmpl w:val="19A64D44"/>
    <w:lvl w:ilvl="0" w:tplc="CE7C1A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A48"/>
    <w:multiLevelType w:val="hybridMultilevel"/>
    <w:tmpl w:val="4032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9"/>
    <w:rsid w:val="000010C8"/>
    <w:rsid w:val="000B4245"/>
    <w:rsid w:val="0021056F"/>
    <w:rsid w:val="00237FA6"/>
    <w:rsid w:val="00245060"/>
    <w:rsid w:val="0032339B"/>
    <w:rsid w:val="003411E8"/>
    <w:rsid w:val="00376B96"/>
    <w:rsid w:val="003C0DAF"/>
    <w:rsid w:val="00423EA3"/>
    <w:rsid w:val="0042720C"/>
    <w:rsid w:val="0044687F"/>
    <w:rsid w:val="004702E7"/>
    <w:rsid w:val="00491FEA"/>
    <w:rsid w:val="004947F6"/>
    <w:rsid w:val="004A0865"/>
    <w:rsid w:val="004A2AF1"/>
    <w:rsid w:val="004A7AAA"/>
    <w:rsid w:val="00522C3A"/>
    <w:rsid w:val="005304FE"/>
    <w:rsid w:val="006E1092"/>
    <w:rsid w:val="00722749"/>
    <w:rsid w:val="007A53C9"/>
    <w:rsid w:val="00823B33"/>
    <w:rsid w:val="00A16849"/>
    <w:rsid w:val="00A37782"/>
    <w:rsid w:val="00AF244B"/>
    <w:rsid w:val="00C55583"/>
    <w:rsid w:val="00D00299"/>
    <w:rsid w:val="00DF037A"/>
    <w:rsid w:val="00F83DA9"/>
    <w:rsid w:val="00F94F03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F10"/>
  <w15:chartTrackingRefBased/>
  <w15:docId w15:val="{479BBECC-85EE-42DD-8EF3-DC13F00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9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522C3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Amy Paoli</cp:lastModifiedBy>
  <cp:revision>3</cp:revision>
  <dcterms:created xsi:type="dcterms:W3CDTF">2019-11-13T09:42:00Z</dcterms:created>
  <dcterms:modified xsi:type="dcterms:W3CDTF">2019-11-13T10:48:00Z</dcterms:modified>
</cp:coreProperties>
</file>